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一、执行范围</w:t>
      </w:r>
    </w:p>
    <w:p>
      <w:r>
        <w:t>上海总部5层办公区本周启动工位和门禁权限同步调整，涉及设备搬迁、访客登记和座位编码更新的事项须按清单处理，综合管理部将在每周五导出异常清单，对未按时提交说明的记录进行二次核验并在运营例会上通报。</w:t>
      </w:r>
    </w:p>
    <w:p>
      <w:r>
        <w:t>二、流程说明</w:t>
      </w:r>
    </w:p>
    <w:p>
      <w:r>
        <w:t>节假日前后办公资源申请量明显上升，为避免会议室、车辆和访客权限重复占用，所有预订动作均需提前录入系统，如遇系统故障，员工须先提交纸质登记表，恢复后24小时内补录，确保台账、审批记录和审计留痕保持一致。</w:t>
      </w:r>
    </w:p>
    <w:p>
      <w:r>
        <w:t>三、时间安排</w:t>
      </w:r>
    </w:p>
    <w:p>
      <w:r>
        <w:t>自2024-10-26起，产品部门统一执行新版考勤和补卡规则，所有外出、加班与调休申请需在OA系统内完成登记，各部门接口人需在次日12:00前确认人员名单与门禁状态，避免因信息滞后影响办公秩序和审批节奏。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产品部</w:t>
      </w:r>
    </w:p>
    <w:p>
      <w:r>
        <w:t>2024-10-26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