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产品使用手册 v2.0</w:t>
      </w:r>
    </w:p>
    <w:p>
      <w:r>
        <w:t>摘要</w:t>
      </w:r>
    </w:p>
    <w:p>
      <w:r>
        <w:t>公司在客户成功体系中新增了统一披露模板，对服务承诺、问题升级路径和数据处理边界进行持续标准化治理，材料明确区分已落地措施与规划性安排，避免外部读者将阶段性目标误解为已承诺交付的最终结果。</w:t>
      </w:r>
    </w:p>
    <w:p>
      <w:r>
        <w:t>1. 服务能力</w:t>
      </w:r>
    </w:p>
    <w:p>
      <w:r>
        <w:t>白皮书根据2024-10-02前归档的项目台账、客户回访与合规审查结果整理，重点说明产品服务能力相关的阶段性进展，文档同时给出指标释义、样本范围和审校责任人，确保市场宣传、客户沟通与监管留痕在表述上保持一致。</w:t>
      </w:r>
    </w:p>
    <w:p>
      <w:r>
        <w:t>2. 运营成效</w:t>
      </w:r>
    </w:p>
    <w:p>
      <w:r>
        <w:t>产品使用手册结合售前、实施和运维团队的对外交付经验，总结了部署边界、能力范围和常见风险提示，后续版本将根据客户反馈和监管变化及时修订术语与案例，使公开资料既可读又具备可审计和可追溯属性。</w:t>
      </w:r>
    </w:p>
    <w:p>
      <w:r>
        <w:t>3. 后续规划</w:t>
      </w:r>
    </w:p>
    <w:p>
      <w:r>
        <w:t>白皮书根据2024-10-02前归档的项目台账、客户回访与合规审查结果整理，重点说明产品服务能力相关的阶段性进展，材料明确区分已落地措施与规划性安排，避免外部读者将阶段性目标误解为已承诺交付的最终结果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