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v2.3</w:t>
      </w:r>
    </w:p>
    <w:p>
      <w:r>
        <w:t>摘要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1. 合规实践</w:t>
      </w:r>
    </w:p>
    <w:p>
      <w:r>
        <w:t>产品使用手册结合售前、实施和运维团队的对外交付经验，总结了部署边界、能力范围和常见风险提示，材料明确区分已落地措施与规划性安排，避免外部读者将阶段性目标误解为已承诺交付的最终结果。</w:t>
      </w:r>
    </w:p>
    <w:p>
      <w:r>
        <w:t>2. 客户价值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3. 运营成效</w:t>
      </w:r>
    </w:p>
    <w:p>
      <w:r>
        <w:t>本报告围绕2025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