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技术白皮书：产品服务能力</w:t>
      </w:r>
    </w:p>
    <w:p>
      <w:r>
        <w:t>摘要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1. 后续规划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2. 治理进展</w:t>
      </w:r>
    </w:p>
    <w:p>
      <w:r>
        <w:t>白皮书根据2024-06-26前归档的项目台账、客户回访与合规审查结果整理，重点说明产品服务能力相关的阶段性进展，材料明确区分已落地措施与规划性安排，避免外部读者将阶段性目标误解为已承诺交付的最终结果。</w:t>
      </w:r>
    </w:p>
    <w:p>
      <w:r>
        <w:t>3. 客户价值</w:t>
      </w:r>
    </w:p>
    <w:p>
      <w:r>
        <w:t>本报告围绕2023年度经营与治理实践编制，覆盖客户服务、供应链协同、绿色办公与员工发展等核心议题，材料明确区分已落地措施与规划性安排，避免外部读者将阶段性目标误解为已承诺交付的最终结果。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