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人力部门培训计划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一、检查机制</w:t>
      </w:r>
    </w:p>
    <w:p>
      <w:r>
        <w:t>上海总部12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二、例外处理</w:t>
      </w:r>
    </w:p>
    <w:p>
      <w:r>
        <w:t>上海总部12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三、资源准备</w:t>
      </w:r>
    </w:p>
    <w:p>
      <w:r>
        <w:t>自2024-07-27起，人力部门统一执行新版考勤和补卡规则，所有外出、加班与调休申请需在OA系统内完成登记，综合管理部将在每周五导出异常清单，对未按时提交说明的记录进行二次核验并在运营例会上通报。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人力部</w:t>
      </w:r>
    </w:p>
    <w:p>
      <w:r>
        <w:t>2024-07-27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