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系统架构设计文档 - API网关</w:t>
      </w:r>
    </w:p>
    <w:p>
      <w:r>
        <w:t>1. 文档信息</w:t>
      </w:r>
    </w:p>
    <w:p>
      <w:r>
        <w:t>版本：1.2</w:t>
      </w:r>
    </w:p>
    <w:p>
      <w:r>
        <w:t>作者：刘七</w:t>
      </w:r>
    </w:p>
    <w:p>
      <w:r>
        <w:t>日期：2024-07-06</w:t>
      </w:r>
    </w:p>
    <w:p>
      <w:r>
        <w:t>2. 方案设计</w:t>
      </w:r>
    </w:p>
    <w:p>
      <w:r>
        <w:t>文档适用范围覆盖研发、测试、运维与业务接口团队，重点解释模块边界、输入输出约束与非功能指标，如外部依赖系统字段口径继续变更，将同时影响接口适配、历史数据修复和验收脚本重跑计划，应优先锁定主数据规则。</w:t>
      </w:r>
    </w:p>
    <w:p>
      <w:r>
        <w:t>3. 建设目标</w:t>
      </w:r>
    </w:p>
    <w:p>
      <w:r>
        <w:t>当前版本聚焦API网关与周边系统的解耦，要求在2024-12-08前实现配置可灰度、接口可回滚和日志可追溯，发布阶段必须先在内部租户完成灰度验证，再逐步放量到目标客户，所有异常请求均需自动打标并进入复盘池。</w:t>
      </w:r>
    </w:p>
    <w:p>
      <w:r>
        <w:t>4. 风险控制</w:t>
      </w:r>
    </w:p>
    <w:p>
      <w:r>
        <w:t>系统实现方案采用双活接入与异步补偿机制，对外同步接口仅返回必要状态，长耗时任务全部转入任务中心处理，如外部依赖系统字段口径继续变更，将同时影响接口适配、历史数据修复和验收脚本重跑计划，应优先锁定主数据规则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