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Apex需求规格说明书</w:t>
      </w:r>
    </w:p>
    <w:p>
      <w:r>
        <w:t>1. 文档信息</w:t>
      </w:r>
    </w:p>
    <w:p>
      <w:r>
        <w:t>版本：3.1</w:t>
      </w:r>
    </w:p>
    <w:p>
      <w:r>
        <w:t>作者：刘七</w:t>
      </w:r>
    </w:p>
    <w:p>
      <w:r>
        <w:t>日期：2024-03-04</w:t>
      </w:r>
    </w:p>
    <w:p>
      <w:r>
        <w:t>2. 风险控制</w:t>
      </w:r>
    </w:p>
    <w:p>
      <w:r>
        <w:t>文档适用范围覆盖研发、测试、运维与业务接口团队，重点解释模块边界、输入输出约束与非功能指标，测试方案除功能回归外，还需要验证网络闪断、重复消息、数据库切换和缓存失效后的业务连续性表现。</w:t>
      </w:r>
    </w:p>
    <w:p>
      <w:r>
        <w:t>3. 测试与发布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建设目标</w:t>
      </w:r>
    </w:p>
    <w:p>
      <w:r>
        <w:t>当前版本聚焦消息队列与周边系统的解耦，要求在2024-04-03前实现配置可灰度、接口可回滚和日志可追溯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