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Nova测试报告</w:t>
      </w:r>
    </w:p>
    <w:p>
      <w:r>
        <w:t>1. 文档信息</w:t>
      </w:r>
    </w:p>
    <w:p>
      <w:r>
        <w:t>版本：3.6</w:t>
      </w:r>
    </w:p>
    <w:p>
      <w:r>
        <w:t>作者：赵六</w:t>
      </w:r>
    </w:p>
    <w:p>
      <w:r>
        <w:t>日期：2024-10-19</w:t>
      </w:r>
    </w:p>
    <w:p>
      <w:r>
        <w:t>2. 依赖与约束</w:t>
      </w:r>
    </w:p>
    <w:p>
      <w:r>
        <w:t>文档适用范围覆盖研发、测试、运维与业务接口团队，重点解释模块边界、输入输出约束与非功能指标，如外部依赖系统字段口径继续变更，将同时影响接口适配、历史数据修复和验收脚本重跑计划，应优先锁定主数据规则。</w:t>
      </w:r>
    </w:p>
    <w:p>
      <w:r>
        <w:t>3. 验收标准</w:t>
      </w:r>
    </w:p>
    <w:p>
      <w:r>
        <w:t>Nova项目定位为支撑权限治理平台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4. 方案设计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