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产品部门周报 - 第23周</w:t>
      </w:r>
    </w:p>
    <w:p>
      <w:r>
        <w:t>备忘录</w:t>
      </w:r>
    </w:p>
    <w:p>
      <w:r>
        <w:t>发件人：吴十</w:t>
      </w:r>
    </w:p>
    <w:p>
      <w:r>
        <w:t>收件人：刘七</w:t>
      </w:r>
    </w:p>
    <w:p>
      <w:r>
        <w:t>日期：2024-11-15</w:t>
      </w:r>
    </w:p>
    <w:p>
      <w:r>
        <w:t>主题：排期调整说明</w:t>
      </w:r>
    </w:p>
    <w:p>
      <w:r>
        <w:t>一、关键进展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二、问题归因</w:t>
      </w:r>
    </w:p>
    <w:p>
      <w:r>
        <w:t>Phoenix项目进入第23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三、升级建议</w:t>
      </w:r>
    </w:p>
    <w:p>
      <w:r>
        <w:t>为支撑研发协同系统下阶段灰度发布，当前必须在需求变更、联调节奏和培训安排三方面尽快形成统一执行口径，各责任人需在日报中补充阻塞原因、预计恢复日期和所需支持资源，避免周报只描述现象而无法支持管理层决策。</w:t>
      </w:r>
    </w:p>
    <w:p>
      <w:r>
        <w:t>下次会议：2024-07-25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