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Titan测试报告</w:t>
      </w:r>
    </w:p>
    <w:p>
      <w:r>
        <w:t>1. 文档信息</w:t>
      </w:r>
    </w:p>
    <w:p>
      <w:r>
        <w:t>版本：3.3</w:t>
      </w:r>
    </w:p>
    <w:p>
      <w:r>
        <w:t>作者：刘七</w:t>
      </w:r>
    </w:p>
    <w:p>
      <w:r>
        <w:t>日期：2024-12-18</w:t>
      </w:r>
    </w:p>
    <w:p>
      <w:r>
        <w:t>2. 验收标准</w:t>
      </w:r>
    </w:p>
    <w:p>
      <w:r>
        <w:t>当前版本聚焦消息队列与周边系统的解耦，要求在2024-08-20前实现配置可灰度、接口可回滚和日志可追溯，测试方案除功能回归外，还需要验证网络闪断、重复消息、数据库切换和缓存失效后的业务连续性表现。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Titan项目定位为支撑权限治理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4. 测试与发布</w:t>
      </w:r>
    </w:p>
    <w:p>
      <w:r>
        <w:t>Titan项目定位为支撑权限治理平台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