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Titan测试报告</w:t>
      </w:r>
    </w:p>
    <w:p>
      <w:r>
        <w:t>1. 文档信息</w:t>
      </w:r>
    </w:p>
    <w:p>
      <w:r>
        <w:t>版本：1.9</w:t>
      </w:r>
    </w:p>
    <w:p>
      <w:r>
        <w:t>作者：陈八</w:t>
      </w:r>
    </w:p>
    <w:p>
      <w:r>
        <w:t>日期：2024-06-02</w:t>
      </w:r>
    </w:p>
    <w:p>
      <w:r>
        <w:t>2. 依赖与约束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3. 验收标准</w:t>
      </w:r>
    </w:p>
    <w:p>
      <w:r>
        <w:t>文档适用范围覆盖研发、测试、运维与业务接口团队，重点解释模块边界、输入输出约束与非功能指标，发布阶段必须先在内部租户完成灰度验证，再逐步放量到目标客户，所有异常请求均需自动打标并进入复盘池。</w:t>
      </w:r>
    </w:p>
    <w:p>
      <w:r>
        <w:t>4. 建设目标</w:t>
      </w:r>
    </w:p>
    <w:p>
      <w:r>
        <w:t>Titan项目定位为支撑预算管理系统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