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版本：3.2</w:t>
      </w:r>
    </w:p>
    <w:p>
      <w:r>
        <w:t>作者：周九</w:t>
      </w:r>
    </w:p>
    <w:p>
      <w:r>
        <w:t>日期：2024-07-15</w:t>
      </w:r>
    </w:p>
    <w:p>
      <w:r>
        <w:t>2. 建设目标</w:t>
      </w:r>
    </w:p>
    <w:p>
      <w:r>
        <w:t>当前版本聚焦API网关与周边系统的解耦，要求在2024-10-21前实现配置可灰度、接口可回滚和日志可追溯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4. 测试与发布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