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Nebula需求规格说明书</w:t>
      </w:r>
    </w:p>
    <w:p>
      <w:r>
        <w:t>1. 文档信息</w:t>
      </w:r>
    </w:p>
    <w:p>
      <w:r>
        <w:t>版本：2.4</w:t>
      </w:r>
    </w:p>
    <w:p>
      <w:r>
        <w:t>作者：刘七</w:t>
      </w:r>
    </w:p>
    <w:p>
      <w:r>
        <w:t>日期：2024-08-17</w:t>
      </w:r>
    </w:p>
    <w:p>
      <w:r>
        <w:t>2. 方案设计</w:t>
      </w:r>
    </w:p>
    <w:p>
      <w:r>
        <w:t>Nebula项目定位为支撑权限治理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3. 测试与发布</w:t>
      </w:r>
    </w:p>
    <w:p>
      <w:r>
        <w:t>当前版本聚焦权限中心与周边系统的解耦，要求在2024-03-01前实现配置可灰度、接口可回滚和日志可追溯，如外部依赖系统字段口径继续变更，将同时影响接口适配、历史数据修复和验收脚本重跑计划，应优先锁定主数据规则。</w:t>
      </w:r>
    </w:p>
    <w:p>
      <w:r>
        <w:t>4. 建设目标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