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Titan需求规格说明书</w:t>
      </w:r>
    </w:p>
    <w:p>
      <w:r>
        <w:t>1. 文档信息</w:t>
      </w:r>
    </w:p>
    <w:p>
      <w:r>
        <w:t>版本：3.4</w:t>
      </w:r>
    </w:p>
    <w:p>
      <w:r>
        <w:t>作者：张三</w:t>
      </w:r>
    </w:p>
    <w:p>
      <w:r>
        <w:t>日期：2024-07-07</w:t>
      </w:r>
    </w:p>
    <w:p>
      <w:r>
        <w:t>2. 验收标准</w:t>
      </w:r>
    </w:p>
    <w:p>
      <w:r>
        <w:t>当前版本聚焦日志平台与周边系统的解耦，要求在2024-06-21前实现配置可灰度、接口可回滚和日志可追溯，发布阶段必须先在内部租户完成灰度验证，再逐步放量到目标客户，所有异常请求均需自动打标并进入复盘池。</w:t>
      </w:r>
    </w:p>
    <w:p>
      <w:r>
        <w:t>3. 依赖与约束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p>
      <w:r>
        <w:t>4. 建设目标</w:t>
      </w:r>
    </w:p>
    <w:p>
      <w:r>
        <w:t>本次设计延续上一阶段的微服务拆分原则，将高频调用能力下沉到共享组件，并以统一配置中心管理环境差异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