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安全部门周报 - 第19周</w:t>
      </w:r>
    </w:p>
    <w:p>
      <w:r>
        <w:t>备忘录</w:t>
      </w:r>
    </w:p>
    <w:p>
      <w:r>
        <w:t>发件人：李四</w:t>
      </w:r>
    </w:p>
    <w:p>
      <w:r>
        <w:t>收件人：赵六</w:t>
      </w:r>
    </w:p>
    <w:p>
      <w:r>
        <w:t>日期：2024-03-11</w:t>
      </w:r>
    </w:p>
    <w:p>
      <w:r>
        <w:t>主题：风险事项通报</w:t>
      </w:r>
    </w:p>
    <w:p>
      <w:r>
        <w:t>一、升级建议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二、协调事项</w:t>
      </w:r>
    </w:p>
    <w:p>
      <w:r>
        <w:t>安全部门过去两周累计收到23项与资源协调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三、问题归因</w:t>
      </w:r>
    </w:p>
    <w:p>
      <w:r>
        <w:t>财务、采购和业务侧同步反馈，本月与美团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下次会议：2024-10-20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