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Nova测试报告</w:t>
      </w:r>
    </w:p>
    <w:p>
      <w:r>
        <w:t>1. 文档信息</w:t>
      </w:r>
    </w:p>
    <w:p>
      <w:r>
        <w:t>版本：2.4</w:t>
      </w:r>
    </w:p>
    <w:p>
      <w:r>
        <w:t>作者：陈八</w:t>
      </w:r>
    </w:p>
    <w:p>
      <w:r>
        <w:t>日期：2024-10-21</w:t>
      </w:r>
    </w:p>
    <w:p>
      <w:r>
        <w:t>2. 风险控制</w:t>
      </w:r>
    </w:p>
    <w:p>
      <w:r>
        <w:t>文档适用范围覆盖研发、测试、运维与业务接口团队，重点解释模块边界、输入输出约束与非功能指标，发布阶段必须先在内部租户完成灰度验证，再逐步放量到目标客户，所有异常请求均需自动打标并进入复盘池。</w:t>
      </w:r>
    </w:p>
    <w:p>
      <w:r>
        <w:t>3. 依赖与约束</w:t>
      </w:r>
    </w:p>
    <w:p>
      <w:r>
        <w:t>系统实现方案采用双活接入与异步补偿机制，对外同步接口仅返回必要状态，长耗时任务全部转入任务中心处理，发布阶段必须先在内部租户完成灰度验证，再逐步放量到目标客户，所有异常请求均需自动打标并进入复盘池。</w:t>
      </w:r>
    </w:p>
    <w:p>
      <w:r>
        <w:t>4. 方案设计</w:t>
      </w:r>
    </w:p>
    <w:p>
      <w:r>
        <w:t>本次设计延续上一阶段的微服务拆分原则，将高频调用能力下沉到共享组件，并以统一配置中心管理环境差异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