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会议纪要：风险复盘讨论会</w:t>
      </w:r>
    </w:p>
    <w:p>
      <w:r>
        <w:t>备忘录</w:t>
      </w:r>
    </w:p>
    <w:p>
      <w:r>
        <w:t>发件人：陈八</w:t>
      </w:r>
    </w:p>
    <w:p>
      <w:r>
        <w:t>收件人：赵六</w:t>
      </w:r>
    </w:p>
    <w:p>
      <w:r>
        <w:t>日期：2024-09-03</w:t>
      </w:r>
    </w:p>
    <w:p>
      <w:r>
        <w:t>主题：资源协调</w:t>
      </w:r>
    </w:p>
    <w:p>
      <w:r>
        <w:t>一、关键进展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财务、采购和业务侧同步反馈，本月与字节跳动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数据部门过去两周累计收到14项与风险复盘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下次会议：2024-04-21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