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内部沟通：资源协调事项</w:t>
      </w:r>
    </w:p>
    <w:p>
      <w:r>
        <w:t>备忘录</w:t>
      </w:r>
    </w:p>
    <w:p>
      <w:r>
        <w:t>发件人：周九</w:t>
      </w:r>
    </w:p>
    <w:p>
      <w:r>
        <w:t>收件人：周九</w:t>
      </w:r>
    </w:p>
    <w:p>
      <w:r>
        <w:t>日期：2024-01-04</w:t>
      </w:r>
    </w:p>
    <w:p>
      <w:r>
        <w:t>主题：排期调整说明</w:t>
      </w:r>
    </w:p>
    <w:p>
      <w:r>
        <w:t>一、协调事项</w:t>
      </w:r>
    </w:p>
    <w:p>
      <w:r>
        <w:t>财务、采购和业务侧同步反馈，本月与阿里云相关的合同补充条款尚未全部回签，已对测试设备到货与付款节点产生影响，涉及日志导出、权限调整和个人信息处理的临时方案不得先上后补，必须同步形成审批记录、风险说明和回退计划。</w:t>
      </w:r>
    </w:p>
    <w:p>
      <w:r>
        <w:t>二、行动安排</w:t>
      </w:r>
    </w:p>
    <w:p>
      <w:r>
        <w:t>财务部门过去两周累计收到6项与资源协调相关的协调请求，其中资源调拨、采购到货和供应商排期问题最为集中，建议所有新增事项统一进入变更池评审，由产品、研发、测试和业务共同确认优先级后再进入排期和资源分配流程。</w:t>
      </w:r>
    </w:p>
    <w:p>
      <w:r>
        <w:t>三、升级建议</w:t>
      </w:r>
    </w:p>
    <w:p>
      <w:r>
        <w:t>财务部门过去两周累计收到6项与资源协调相关的协调请求，其中资源调拨、采购到货和供应商排期问题最为集中，各责任人需在日报中补充阻塞原因、预计恢复日期和所需支持资源，避免周报只描述现象而无法支持管理层决策。</w:t>
      </w:r>
    </w:p>
    <w:p>
      <w:r>
        <w:t>下次会议：2024-04-20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