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Nebula需求规格说明书</w:t>
      </w:r>
    </w:p>
    <w:p>
      <w:r>
        <w:t>1. 文档信息</w:t>
      </w:r>
    </w:p>
    <w:p>
      <w:r>
        <w:t>版本：1.9</w:t>
      </w:r>
    </w:p>
    <w:p>
      <w:r>
        <w:t>作者：王五</w:t>
      </w:r>
    </w:p>
    <w:p>
      <w:r>
        <w:t>日期：2024-09-15</w:t>
      </w:r>
    </w:p>
    <w:p>
      <w:r>
        <w:t>2. 风险控制</w:t>
      </w:r>
    </w:p>
    <w:p>
      <w:r>
        <w:t>当前版本聚焦数据层与周边系统的解耦，要求在2024-11-04前实现配置可灰度、接口可回滚和日志可追溯，测试方案除功能回归外，还需要验证网络闪断、重复消息、数据库切换和缓存失效后的业务连续性表现。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4. 验收标准</w:t>
      </w:r>
    </w:p>
    <w:p>
      <w:r>
        <w:t>Nebula项目定位为支撑日志分析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