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Atlas测试报告</w:t>
      </w:r>
    </w:p>
    <w:p>
      <w:r>
        <w:t>1. 文档信息</w:t>
      </w:r>
    </w:p>
    <w:p>
      <w:r>
        <w:t>版本：2.6</w:t>
      </w:r>
    </w:p>
    <w:p>
      <w:r>
        <w:t>作者：吴十</w:t>
      </w:r>
    </w:p>
    <w:p>
      <w:r>
        <w:t>日期：2024-03-17</w:t>
      </w:r>
    </w:p>
    <w:p>
      <w:r>
        <w:t>2. 验收标准</w:t>
      </w:r>
    </w:p>
    <w:p>
      <w:r>
        <w:t>Atlas项目定位为支撑日志分析平台的统一能力底座，本阶段目标是在不改变上层业务入口的前提下完成关键链路重构，测试方案除功能回归外，还需要验证网络闪断、重复消息、数据库切换和缓存失效后的业务连续性表现。</w:t>
      </w:r>
    </w:p>
    <w:p>
      <w:r>
        <w:t>3. 依赖与约束</w:t>
      </w:r>
    </w:p>
    <w:p>
      <w:r>
        <w:t>Atlas项目定位为支撑日志分析平台的统一能力底座，本阶段目标是在不改变上层业务入口的前提下完成关键链路重构，发布阶段必须先在内部租户完成灰度验证，再逐步放量到目标客户，所有异常请求均需自动打标并进入复盘池。</w:t>
      </w:r>
    </w:p>
    <w:p>
      <w:r>
        <w:t>4. 测试与发布</w:t>
      </w:r>
    </w:p>
    <w:p>
      <w:r>
        <w:t>当前版本聚焦数据层与周边系统的解耦，要求在2024-08-16前实现配置可灰度、接口可回滚和日志可追溯，发布阶段必须先在内部租户完成灰度验证，再逐步放量到目标客户，所有异常请求均需自动打标并进入复盘池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