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第5周</w:t>
      </w:r>
    </w:p>
    <w:p>
      <w:r>
        <w:t>备忘录</w:t>
      </w:r>
    </w:p>
    <w:p>
      <w:r>
        <w:t>发件人：赵六</w:t>
      </w:r>
    </w:p>
    <w:p>
      <w:r>
        <w:t>收件人：刘七</w:t>
      </w:r>
    </w:p>
    <w:p>
      <w:r>
        <w:t>日期：2024-05-07</w:t>
      </w:r>
    </w:p>
    <w:p>
      <w:r>
        <w:t>主题：排期调整说明</w:t>
      </w:r>
    </w:p>
    <w:p>
      <w:r>
        <w:t>一、背景说明</w:t>
      </w:r>
    </w:p>
    <w:p>
      <w:r>
        <w:t>财务、采购和业务侧同步反馈，本月与美团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财务、采购和业务侧同步反馈，本月与美团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下次会议：2024-08-03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