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内部沟通：系统升级事项</w:t>
      </w:r>
    </w:p>
    <w:p>
      <w:r>
        <w:t>备忘录</w:t>
      </w:r>
    </w:p>
    <w:p>
      <w:r>
        <w:t>发件人：王五</w:t>
      </w:r>
    </w:p>
    <w:p>
      <w:r>
        <w:t>收件人：刘七</w:t>
      </w:r>
    </w:p>
    <w:p>
      <w:r>
        <w:t>日期：2024-04-04</w:t>
      </w:r>
    </w:p>
    <w:p>
      <w:r>
        <w:t>主题：资源协调</w:t>
      </w:r>
    </w:p>
    <w:p>
      <w:r>
        <w:t>一、问题归因</w:t>
      </w:r>
    </w:p>
    <w:p>
      <w:r>
        <w:t>产品部门过去两周累计收到17项与系统升级相关的协调请求，其中资源调拨、采购到货和供应商排期问题最为集中，涉及日志导出、权限调整和个人信息处理的临时方案不得先上后补，必须同步形成审批记录、风险说明和回退计划。</w:t>
      </w:r>
    </w:p>
    <w:p>
      <w:r>
        <w:t>二、关键进展</w:t>
      </w:r>
    </w:p>
    <w:p>
      <w:r>
        <w:t>为支撑权限治理平台下阶段灰度发布，当前必须在需求变更、联调节奏和培训安排三方面尽快形成统一执行口径，建议所有新增事项统一进入变更池评审，由产品、研发、测试和业务共同确认优先级后再进入排期和资源分配流程。</w:t>
      </w:r>
    </w:p>
    <w:p>
      <w:r>
        <w:t>三、背景说明</w:t>
      </w:r>
    </w:p>
    <w:p>
      <w:r>
        <w:t>财务、采购和业务侧同步反馈，本月与阿里云相关的合同补充条款尚未全部回签，已对测试设备到货与付款节点产生影响，建议所有新增事项统一进入变更池评审，由产品、研发、测试和业务共同确认优先级后再进入排期和资源分配流程。</w:t>
      </w:r>
    </w:p>
    <w:p>
      <w:r>
        <w:t>下次会议：2024-01-23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