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Apex需求规格说明书</w:t>
      </w:r>
    </w:p>
    <w:p>
      <w:r>
        <w:t>1. 文档信息</w:t>
      </w:r>
    </w:p>
    <w:p>
      <w:r>
        <w:t>版本：2.2</w:t>
      </w:r>
    </w:p>
    <w:p>
      <w:r>
        <w:t>作者：张三</w:t>
      </w:r>
    </w:p>
    <w:p>
      <w:r>
        <w:t>日期：2024-02-08</w:t>
      </w:r>
    </w:p>
    <w:p>
      <w:r>
        <w:t>2. 测试与发布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3. 验收标准</w:t>
      </w:r>
    </w:p>
    <w:p>
      <w:r>
        <w:t>当前版本聚焦数据层与周边系统的解耦，要求在2024-10-17前实现配置可灰度、接口可回滚和日志可追溯，测试方案除功能回归外，还需要验证网络闪断、重复消息、数据库切换和缓存失效后的业务连续性表现。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文档适用范围覆盖研发、测试、运维与业务接口团队，重点解释模块边界、输入输出约束与非功能指标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