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关于Phoenix项目进度的备忘录</w:t>
      </w:r>
    </w:p>
    <w:p>
      <w:r>
        <w:t>备忘录</w:t>
      </w:r>
    </w:p>
    <w:p>
      <w:r>
        <w:t>发件人：周九</w:t>
      </w:r>
    </w:p>
    <w:p>
      <w:r>
        <w:t>收件人：吴十</w:t>
      </w:r>
    </w:p>
    <w:p>
      <w:r>
        <w:t>日期：2024-07-10</w:t>
      </w:r>
    </w:p>
    <w:p>
      <w:r>
        <w:t>主题：排期调整说明</w:t>
      </w:r>
    </w:p>
    <w:p>
      <w:r>
        <w:t>一、行动安排</w:t>
      </w:r>
    </w:p>
    <w:p>
      <w:r>
        <w:t>Phoenix项目进入第11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二、协调事项</w:t>
      </w:r>
    </w:p>
    <w:p>
      <w:r>
        <w:t>Phoenix项目进入第11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三、问题归因</w:t>
      </w:r>
    </w:p>
    <w:p>
      <w:r>
        <w:t>为支撑客户画像平台下阶段灰度发布，当前必须在需求变更、联调节奏和培训安排三方面尽快形成统一执行口径，建议所有新增事项统一进入变更池评审，由产品、研发、测试和业务共同确认优先级后再进入排期和资源分配流程。</w:t>
      </w:r>
    </w:p>
    <w:p>
      <w:r>
        <w:t>下次会议：2024-09-22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