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会议纪要：预算使用讨论会</w:t>
      </w:r>
    </w:p>
    <w:p>
      <w:r>
        <w:t>备忘录</w:t>
      </w:r>
    </w:p>
    <w:p>
      <w:r>
        <w:t>发件人：李四</w:t>
      </w:r>
    </w:p>
    <w:p>
      <w:r>
        <w:t>收件人：赵六</w:t>
      </w:r>
    </w:p>
    <w:p>
      <w:r>
        <w:t>日期：2024-02-18</w:t>
      </w:r>
    </w:p>
    <w:p>
      <w:r>
        <w:t>主题：风险事项通报</w:t>
      </w:r>
    </w:p>
    <w:p>
      <w:r>
        <w:t>一、升级建议</w:t>
      </w:r>
    </w:p>
    <w:p>
      <w:r>
        <w:t>Omega项目进入第23周后，需求冻结与开发排期出现偏差，主要受外部接口交付延迟、测试环境容量不足和审批窗口重叠影响，建议所有新增事项统一进入变更池评审，由产品、研发、测试和业务共同确认优先级后再进入排期和资源分配流程。</w:t>
      </w:r>
    </w:p>
    <w:p>
      <w:r>
        <w:t>二、协调事项</w:t>
      </w:r>
    </w:p>
    <w:p>
      <w:r>
        <w:t>为支撑日志分析平台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三、行动安排</w:t>
      </w:r>
    </w:p>
    <w:p>
      <w:r>
        <w:t>财务、采购和业务侧同步反馈，本月与百度相关的合同补充条款尚未全部回签，已对测试设备到货与付款节点产生影响，各责任人需在日报中补充阻塞原因、预计恢复日期和所需支持资源，避免周报只描述现象而无法支持管理层决策。</w:t>
      </w:r>
    </w:p>
    <w:p>
      <w:r>
        <w:t>下次会议：2024-04-20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