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数据层</w:t>
      </w:r>
    </w:p>
    <w:p>
      <w:r>
        <w:t>1. 文档信息</w:t>
      </w:r>
    </w:p>
    <w:p>
      <w:r>
        <w:t>版本：2.7</w:t>
      </w:r>
    </w:p>
    <w:p>
      <w:r>
        <w:t>作者：王五</w:t>
      </w:r>
    </w:p>
    <w:p>
      <w:r>
        <w:t>日期：2024-04-17</w:t>
      </w:r>
    </w:p>
    <w:p>
      <w:r>
        <w:t>2. 依赖与约束</w:t>
      </w:r>
    </w:p>
    <w:p>
      <w:r>
        <w:t>Nebula项目定位为支撑数据交换总线的统一能力底座，本阶段目标是在不改变上层业务入口的前提下完成关键链路重构，如外部依赖系统字段口径继续变更，将同时影响接口适配、历史数据修复和验收脚本重跑计划，应优先锁定主数据规则。</w:t>
      </w:r>
    </w:p>
    <w:p>
      <w:r>
        <w:t>3. 方案设计</w:t>
      </w:r>
    </w:p>
    <w:p>
      <w:r>
        <w:t>本次设计延续上一阶段的微服务拆分原则，将高频调用能力下沉到共享组件，并以统一配置中心管理环境差异，发布阶段必须先在内部租户完成灰度验证，再逐步放量到目标客户，所有异常请求均需自动打标并进入复盘池。</w:t>
      </w:r>
    </w:p>
    <w:p>
      <w:r>
        <w:t>4. 风险控制</w:t>
      </w:r>
    </w:p>
    <w:p>
      <w:r>
        <w:t>系统实现方案采用双活接入与异步补偿机制，对外同步接口仅返回必要状态，长耗时任务全部转入任务中心处理，发布阶段必须先在内部租户完成灰度验证，再逐步放量到目标客户，所有异常请求均需自动打标并进入复盘池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