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内部沟通：风险复盘事项</w:t>
      </w:r>
    </w:p>
    <w:p>
      <w:r>
        <w:t>备忘录</w:t>
      </w:r>
    </w:p>
    <w:p>
      <w:r>
        <w:t>发件人：刘七</w:t>
      </w:r>
    </w:p>
    <w:p>
      <w:r>
        <w:t>收件人：刘七</w:t>
      </w:r>
    </w:p>
    <w:p>
      <w:r>
        <w:t>日期：2024-10-16</w:t>
      </w:r>
    </w:p>
    <w:p>
      <w:r>
        <w:t>主题：项目进展汇报</w:t>
      </w:r>
    </w:p>
    <w:p>
      <w:r>
        <w:t>一、行动安排</w:t>
      </w:r>
    </w:p>
    <w:p>
      <w:r>
        <w:t>市场部门过去两周累计收到9项与风险复盘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财务、采购和业务侧同步反馈，本月与阿里云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下次会议：2024-02-16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