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内部沟通：风险复盘事项</w:t>
      </w:r>
    </w:p>
    <w:p>
      <w:r>
        <w:t>备忘录</w:t>
      </w:r>
    </w:p>
    <w:p>
      <w:r>
        <w:t>发件人：李四</w:t>
      </w:r>
    </w:p>
    <w:p>
      <w:r>
        <w:t>收件人：吴十</w:t>
      </w:r>
    </w:p>
    <w:p>
      <w:r>
        <w:t>日期：2024-12-23</w:t>
      </w:r>
    </w:p>
    <w:p>
      <w:r>
        <w:t>主题：资源协调</w:t>
      </w:r>
    </w:p>
    <w:p>
      <w:r>
        <w:t>一、问题归因</w:t>
      </w:r>
    </w:p>
    <w:p>
      <w:r>
        <w:t>为支撑客户画像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二、行动安排</w:t>
      </w:r>
    </w:p>
    <w:p>
      <w:r>
        <w:t>Omega项目进入第10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为支撑客户画像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下次会议：2024-06-11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