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系统架构设计文档 - 日志平台</w:t>
      </w:r>
    </w:p>
    <w:p>
      <w:r>
        <w:t>1. 文档信息</w:t>
      </w:r>
    </w:p>
    <w:p>
      <w:r>
        <w:t>版本：2.6</w:t>
      </w:r>
    </w:p>
    <w:p>
      <w:r>
        <w:t>作者：刘七</w:t>
      </w:r>
    </w:p>
    <w:p>
      <w:r>
        <w:t>日期：2024-12-04</w:t>
      </w:r>
    </w:p>
    <w:p>
      <w:r>
        <w:t>2. 建设目标</w:t>
      </w:r>
    </w:p>
    <w:p>
      <w:r>
        <w:t>系统实现方案采用双活接入与异步补偿机制，对外同步接口仅返回必要状态，长耗时任务全部转入任务中心处理，测试方案除功能回归外，还需要验证网络闪断、重复消息、数据库切换和缓存失效后的业务连续性表现。</w:t>
      </w:r>
    </w:p>
    <w:p>
      <w:r>
        <w:t>3. 依赖与约束</w:t>
      </w:r>
    </w:p>
    <w:p>
      <w:r>
        <w:t>当前版本聚焦日志平台与周边系统的解耦，要求在2024-10-07前实现配置可灰度、接口可回滚和日志可追溯，测试方案除功能回归外，还需要验证网络闪断、重复消息、数据库切换和缓存失效后的业务连续性表现。</w:t>
      </w:r>
    </w:p>
    <w:p>
      <w:r>
        <w:t>4. 验收标准</w:t>
      </w:r>
    </w:p>
    <w:p>
      <w:r>
        <w:t>Nova项目定位为支撑数据交换总线的统一能力底座，本阶段目标是在不改变上层业务入口的前提下完成关键链路重构，发布阶段必须先在内部租户完成灰度验证，再逐步放量到目标客户，所有异常请求均需自动打标并进入复盘池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