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费用报销审批：设备采购</w:t>
      </w:r>
    </w:p>
    <w:p>
      <w:r>
        <w:t>机密文件</w:t>
      </w:r>
    </w:p>
    <w:p>
      <w:r>
        <w:t>文档编号：DOC-93505</w:t>
      </w:r>
    </w:p>
    <w:p>
      <w:r>
        <w:t>密级：机密</w:t>
      </w:r>
    </w:p>
    <w:p>
      <w:r>
        <w:t>一、预算执行</w:t>
      </w:r>
    </w:p>
    <w:p>
      <w:r>
        <w:t>申请事项对应Phoenix项目第一期阶段，涉及字节跳动服务费、测试资源租赁和驻场支持费用，审批通过后，出纳付款、会计入账和预算回写应在同一工作日内完成，确保经营看板与项目台账口径一致。</w:t>
      </w:r>
    </w:p>
    <w:p>
      <w:r>
        <w:t>二、审批建议</w:t>
      </w:r>
    </w:p>
    <w:p>
      <w:r>
        <w:t>本文件同时关联18张发票与两份补充协议，付款条件、税率和验收节点已由采购、法务和业务部门逐项核对，如业务方无法在2024-03-10前提供正式验收单，尾款应顺延至下一个付款窗口，并在ERP中挂起处理。</w:t>
      </w:r>
    </w:p>
    <w:p>
      <w:r>
        <w:t>三、付款安排</w:t>
      </w:r>
    </w:p>
    <w:p>
      <w:r>
        <w:t>根据月度滚动预测，当前年度预算总额为867万元，已执行600万元，剩余可用额度为267万元，经初审判断，若本次审批通过，不会突破部门年度上限，但要求项目组严格按里程碑提交验收材料和付款依据。</w:t>
      </w:r>
    </w:p>
    <w:p>
      <w:r>
        <w:t>审批人：刘七</w:t>
      </w:r>
    </w:p>
    <w:p>
      <w:r>
        <w:t>日期：2024-11-15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