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采购合同：阿里云</w:t>
      </w:r>
    </w:p>
    <w:p>
      <w:r>
        <w:t>机密文件</w:t>
      </w:r>
    </w:p>
    <w:p>
      <w:r>
        <w:t>文档编号：DOC-10915</w:t>
      </w:r>
    </w:p>
    <w:p>
      <w:r>
        <w:t>密级：机密</w:t>
      </w:r>
    </w:p>
    <w:p>
      <w:r>
        <w:t>一、预算执行</w:t>
      </w:r>
    </w:p>
    <w:p>
      <w:r>
        <w:t>申请事项对应Apex项目第一期阶段，涉及阿里云服务费、测试资源租赁和驻场支持费用，审批通过后，出纳付款、会计入账和预算回写应在同一工作日内完成，确保经营看板与项目台账口径一致。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根据月度滚动预测，当前年度预算总额为260万元，已执行70万元，剩余可用额度为190万元，审批通过后，出纳付款、会计入账和预算回写应在同一工作日内完成，确保经营看板与项目台账口径一致。</w:t>
      </w:r>
    </w:p>
    <w:p>
      <w:r>
        <w:t>三、风险提示</w:t>
      </w:r>
    </w:p>
    <w:p>
      <w:r>
        <w:t>本文件同时关联23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审批人：陈八</w:t>
      </w:r>
    </w:p>
    <w:p>
      <w:r>
        <w:t>日期：2024-11-10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