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2023年Q3财务报表</w:t>
      </w:r>
    </w:p>
    <w:p>
      <w:r>
        <w:t>机密文件</w:t>
      </w:r>
    </w:p>
    <w:p>
      <w:r>
        <w:t>文档编号：DOC-29796</w:t>
      </w:r>
    </w:p>
    <w:p>
      <w:r>
        <w:t>密级：机密</w:t>
      </w:r>
    </w:p>
    <w:p>
      <w:r>
        <w:t>一、事项概览</w:t>
      </w:r>
    </w:p>
    <w:p>
      <w:r>
        <w:t>本文件同时关联4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申请事项对应Nebula项目第二期阶段，涉及阿里云服务费、测试资源租赁和驻场支持费用，如业务方无法在2024-11-06前提供正式验收单，尾款应顺延至下一个付款窗口，并在ERP中挂起处理。</w:t>
      </w:r>
    </w:p>
    <w:p>
      <w:r>
        <w:t>三、预算执行</w:t>
      </w:r>
    </w:p>
    <w:p>
      <w:r>
        <w:t>本期单据归属法务成本中心CC-445，预算科目覆盖软件订阅、设备采购、差旅报销和外包服务四类，审批通过后，出纳付款、会计入账和预算回写应在同一工作日内完成，确保经营看板与项目台账口径一致。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日期：2024-07-28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