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采购合同：腾讯</w:t>
      </w:r>
    </w:p>
    <w:p>
      <w:r>
        <w:t>机密文件</w:t>
      </w:r>
    </w:p>
    <w:p>
      <w:r>
        <w:t>文档编号：DOC-50964</w:t>
      </w:r>
    </w:p>
    <w:p>
      <w:r>
        <w:t>密级：机密</w:t>
      </w:r>
    </w:p>
    <w:p>
      <w:r>
        <w:t>一、事项概览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二、预算执行</w:t>
      </w:r>
    </w:p>
    <w:p>
      <w:r>
        <w:t>申请事项对应Apex项目第二期阶段，涉及腾讯服务费、测试资源租赁和驻场支持费用，经初审判断，若本次审批通过，不会突破部门年度上限，但要求项目组严格按里程碑提交验收材料和付款依据。</w:t>
      </w:r>
    </w:p>
    <w:p>
      <w:r>
        <w:t>三、付款安排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审批人：王五</w:t>
      </w:r>
    </w:p>
    <w:p>
      <w:r>
        <w:t>日期：2024-02-01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