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合同编号：HT-2024547</w:t>
      </w:r>
    </w:p>
    <w:p>
      <w:r>
        <w:t>甲方：本公司</w:t>
      </w:r>
    </w:p>
    <w:p>
      <w:r>
        <w:t>乙方：腾讯</w:t>
      </w:r>
    </w:p>
    <w:p>
      <w:r>
        <w:t>第一条 权利义务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第二条 违约责任</w:t>
      </w:r>
    </w:p>
    <w:p>
      <w:r>
        <w:t>双方确认本协议适用于Titan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第三条 交付验收</w:t>
      </w:r>
    </w:p>
    <w:p>
      <w:r>
        <w:t>合作内容包含系统部署、接口开发、联调支持和验收整改四个阶段，若甲方业务策略发生重大变化，双方应及时重新确认边界，若发生严重泄密、恶意毁损数据或连续违约导致合作无法继续，守约方有权解除协议并追究相应经济损失。</w:t>
      </w:r>
    </w:p>
    <w:p>
      <w:r>
        <w:t>第四条 保密安排</w:t>
      </w:r>
    </w:p>
    <w:p>
      <w:r>
        <w:t>双方确认本协议适用于Titan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签署日期：2024-05-02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