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文档编号：DOC-70324</w:t>
      </w:r>
    </w:p>
    <w:p>
      <w:r>
        <w:t>密级：机密</w:t>
      </w:r>
    </w:p>
    <w:p>
      <w:r>
        <w:t>一、事项概览</w:t>
      </w:r>
    </w:p>
    <w:p>
      <w:r>
        <w:t>本期单据归属产品成本中心CC-955，预算科目覆盖软件订阅、设备采购、差旅报销和外包服务四类，审批通过后，出纳付款、会计入账和预算回写应在同一工作日内完成，确保经营看板与项目台账口径一致。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二、预算执行</w:t>
      </w:r>
    </w:p>
    <w:p>
      <w:r>
        <w:t>申请事项对应Nebula项目第扩容期阶段，涉及字节跳动服务费、测试资源租赁和驻场支持费用，审批通过后，出纳付款、会计入账和预算回写应在同一工作日内完成，确保经营看板与项目台账口径一致。</w:t>
      </w:r>
    </w:p>
    <w:p>
      <w:r>
        <w:t>三、资金测算</w:t>
      </w:r>
    </w:p>
    <w:p>
      <w:r>
        <w:t>本文件同时关联16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日期：2024-12-18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