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费用报销审批：咨询服务</w:t>
      </w:r>
    </w:p>
    <w:p>
      <w:r>
        <w:t>机密文件</w:t>
      </w:r>
    </w:p>
    <w:p>
      <w:r>
        <w:t>文档编号：DOC-82776</w:t>
      </w:r>
    </w:p>
    <w:p>
      <w:r>
        <w:t>密级：机密</w:t>
      </w:r>
    </w:p>
    <w:p>
      <w:r>
        <w:t>一、预算执行</w:t>
      </w:r>
    </w:p>
    <w:p>
      <w:r>
        <w:t>根据月度滚动预测，当前年度预算总额为428万元，已执行321万元，剩余可用额度为107万元，经初审判断，若本次审批通过，不会突破部门年度上限，但要求项目组严格按里程碑提交验收材料和付款依据。</w:t>
      </w:r>
    </w:p>
    <w:p>
      <w:r>
        <w:t>二、审批建议</w:t>
      </w:r>
    </w:p>
    <w:p>
      <w:r>
        <w:t>根据月度滚动预测，当前年度预算总额为428万元，已执行321万元，剩余可用额度为107万元，如业务方无法在2024-10-18前提供正式验收单，尾款应顺延至下一个付款窗口，并在ERP中挂起处理。</w:t>
      </w:r>
    </w:p>
    <w:p>
      <w:r>
        <w:t>三、风险提示</w:t>
      </w:r>
    </w:p>
    <w:p>
      <w:r>
        <w:t>为保证费用归集准确，本次申请将按项目维度和职能维度双重入账，涉及跨部门分摊的部分需由财务BP发起二次确认，审批通过后，出纳付款、会计入账和预算回写应在同一工作日内完成，确保经营看板与项目台账口径一致。</w:t>
      </w:r>
    </w:p>
    <w:p>
      <w:r>
        <w:t>审批人：吴十</w:t>
      </w:r>
    </w:p>
    <w:p>
      <w:r>
        <w:t>日期：2024-08-03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