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2025年Q2财务报表</w:t>
      </w:r>
    </w:p>
    <w:p>
      <w:r>
        <w:t>机密文件</w:t>
      </w:r>
    </w:p>
    <w:p>
      <w:r>
        <w:t>文档编号：DOC-21824</w:t>
      </w:r>
    </w:p>
    <w:p>
      <w:r>
        <w:t>密级：机密</w:t>
      </w:r>
    </w:p>
    <w:p>
      <w:r>
        <w:t>一、风险提示</w:t>
      </w:r>
    </w:p>
    <w:p>
      <w:r>
        <w:t>申请事项对应Nova项目第二期阶段，涉及腾讯服务费、测试资源租赁和驻场支持费用，如业务方无法在2024-08-10前提供正式验收单，尾款应顺延至下一个付款窗口，并在ERP中挂起处理。</w:t>
      </w:r>
    </w:p>
    <w:p>
      <w:r>
        <w:t>二、审批建议</w:t>
      </w:r>
    </w:p>
    <w:p>
      <w:r>
        <w:t>本期单据归属市场成本中心CC-654，预算科目覆盖软件订阅、设备采购、差旅报销和外包服务四类，审批通过后，出纳付款、会计入账和预算回写应在同一工作日内完成，确保经营看板与项目台账口径一致。</w:t>
      </w:r>
    </w:p>
    <w:p>
      <w:r>
        <w:t>三、付款安排</w:t>
      </w:r>
    </w:p>
    <w:p>
      <w:r>
        <w:t>本期单据归属市场成本中心CC-654，预算科目覆盖软件订阅、设备采购、差旅报销和外包服务四类，如业务方无法在2024-08-10前提供正式验收单，尾款应顺延至下一个付款窗口，并在ERP中挂起处理。</w:t>
      </w:r>
    </w:p>
    <w:p>
      <w:r>
        <w:t>审批人：周九</w:t>
      </w:r>
    </w:p>
    <w:p>
      <w:r>
        <w:t>日期：2024-08-12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