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运维部门预算审批单</w:t>
      </w:r>
    </w:p>
    <w:p>
      <w:r>
        <w:t>机密文件</w:t>
      </w:r>
    </w:p>
    <w:p>
      <w:r>
        <w:t>文档编号：DOC-95986</w:t>
      </w:r>
    </w:p>
    <w:p>
      <w:r>
        <w:t>密级：机密</w:t>
      </w:r>
    </w:p>
    <w:p>
      <w:r>
        <w:t>一、审批建议</w:t>
      </w:r>
    </w:p>
    <w:p>
      <w:r>
        <w:t>本文件同时关联15张发票与两份补充协议，付款条件、税率和验收节点已由采购、法务和业务部门逐项核对，如业务方无法在2024-05-10前提供正式验收单，尾款应顺延至下一个付款窗口，并在ERP中挂起处理。</w:t>
      </w:r>
    </w:p>
    <w:p>
      <w:r>
        <w:t>二、资金测算</w:t>
      </w:r>
    </w:p>
    <w:p>
      <w:r>
        <w:t>本期单据归属运维成本中心CC-681，预算科目覆盖软件订阅、设备采购、差旅报销和外包服务四类，审批通过后，出纳付款、会计入账和预算回写应在同一工作日内完成，确保经营看板与项目台账口径一致。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三、预算执行</w:t>
      </w:r>
    </w:p>
    <w:p>
      <w:r>
        <w:t>本文件同时关联15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日期：2024-07-12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