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法务部门预算审批单</w:t>
      </w:r>
    </w:p>
    <w:p>
      <w:r>
        <w:t>机密文件</w:t>
      </w:r>
    </w:p>
    <w:p>
      <w:r>
        <w:t>文档编号：DOC-46287</w:t>
      </w:r>
    </w:p>
    <w:p>
      <w:r>
        <w:t>密级：机密</w:t>
      </w:r>
    </w:p>
    <w:p>
      <w:r>
        <w:t>一、付款安排</w:t>
      </w:r>
    </w:p>
    <w:p>
      <w:r>
        <w:t>根据月度滚动预测，当前年度预算总额为577万元，已执行342万元，剩余可用额度为235万元，审批通过后，出纳付款、会计入账和预算回写应在同一工作日内完成，确保经营看板与项目台账口径一致。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根据月度滚动预测，当前年度预算总额为577万元，已执行342万元，剩余可用额度为235万元，如业务方无法在2024-06-24前提供正式验收单，尾款应顺延至下一个付款窗口，并在ERP中挂起处理。</w:t>
      </w:r>
    </w:p>
    <w:p>
      <w:r>
        <w:t>三、预算执行</w:t>
      </w:r>
    </w:p>
    <w:p>
      <w:r>
        <w:t>申请事项对应Atlas项目第一期阶段，涉及字节跳动服务费、测试资源租赁和驻场支持费用，审批通过后，出纳付款、会计入账和预算回写应在同一工作日内完成，确保经营看板与项目台账口径一致。</w:t>
      </w:r>
    </w:p>
    <w:p>
      <w:r>
        <w:t>审批人：周九</w:t>
      </w:r>
    </w:p>
    <w:p>
      <w:r>
        <w:t>日期：2024-10-27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