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2023年Q1财务报表</w:t>
      </w:r>
    </w:p>
    <w:p>
      <w:r>
        <w:t>机密文件</w:t>
      </w:r>
    </w:p>
    <w:p>
      <w:r>
        <w:t>文档编号：DOC-98819</w:t>
      </w:r>
    </w:p>
    <w:p>
      <w:r>
        <w:t>密级：机密</w:t>
      </w:r>
    </w:p>
    <w:p>
      <w:r>
        <w:t>一、资金测算</w:t>
      </w:r>
    </w:p>
    <w:p>
      <w:r>
        <w:t>本期单据归属运维成本中心CC-713，预算科目覆盖软件订阅、设备采购、差旅报销和外包服务四类，经初审判断，若本次审批通过，不会突破部门年度上限，但要求项目组严格按里程碑提交验收材料和付款依据。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本期单据归属运维成本中心CC-713，预算科目覆盖软件订阅、设备采购、差旅报销和外包服务四类，如业务方无法在2024-08-05前提供正式验收单，尾款应顺延至下一个付款窗口，并在ERP中挂起处理。</w:t>
      </w:r>
    </w:p>
    <w:p>
      <w:r>
        <w:t>三、付款安排</w:t>
      </w:r>
    </w:p>
    <w:p>
      <w:r>
        <w:t>根据月度滚动预测，当前年度预算总额为757万元，已执行155万元，剩余可用额度为602万元，审批通过后，出纳付款、会计入账和预算回写应在同一工作日内完成，确保经营看板与项目台账口径一致。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日期：2024-05-02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