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2023年Q1财务报表</w:t>
      </w:r>
    </w:p>
    <w:p>
      <w:r>
        <w:t>机密文件</w:t>
      </w:r>
    </w:p>
    <w:p>
      <w:r>
        <w:t>文档编号：DOC-96932</w:t>
      </w:r>
    </w:p>
    <w:p>
      <w:r>
        <w:t>密级：机密</w:t>
      </w:r>
    </w:p>
    <w:p>
      <w:r>
        <w:t>一、审批建议</w:t>
      </w:r>
    </w:p>
    <w:p>
      <w:r>
        <w:t>本文件同时关联11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申请事项对应Nebula项目第一期阶段，涉及京东服务费、测试资源租赁和驻场支持费用，审批通过后，出纳付款、会计入账和预算回写应在同一工作日内完成，确保经营看板与项目台账口径一致。</w:t>
      </w:r>
    </w:p>
    <w:p>
      <w:r>
        <w:t>三、事项概览</w:t>
      </w:r>
    </w:p>
    <w:p>
      <w:r>
        <w:t>根据月度滚动预测，当前年度预算总额为410万元，已执行230万元，剩余可用额度为180万元，审批通过后，出纳付款、会计入账和预算回写应在同一工作日内完成，确保经营看板与项目台账口径一致。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日期：2024-12-10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