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2025年Q3财务报表</w:t>
      </w:r>
    </w:p>
    <w:p>
      <w:r>
        <w:t>机密文件</w:t>
      </w:r>
    </w:p>
    <w:p>
      <w:r>
        <w:t>文档编号：DOC-29749</w:t>
      </w:r>
    </w:p>
    <w:p>
      <w:r>
        <w:t>密级：机密</w:t>
      </w:r>
    </w:p>
    <w:p>
      <w:r>
        <w:t>一、预算执行</w:t>
      </w:r>
    </w:p>
    <w:p>
      <w:r>
        <w:t>本文件同时关联22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二、审批建议</w:t>
      </w:r>
    </w:p>
    <w:p>
      <w:r>
        <w:t>为保证费用归集准确，本次申请将按项目维度和职能维度双重入账，涉及跨部门分摊的部分需由财务BP发起二次确认，如业务方无法在2024-01-23前提供正式验收单，尾款应顺延至下一个付款窗口，并在ERP中挂起处理。</w:t>
      </w:r>
    </w:p>
    <w:p>
      <w:r>
        <w:t>三、资金测算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日期：2024-12-10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