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费用报销审批：咨询服务</w:t>
      </w:r>
    </w:p>
    <w:p>
      <w:r>
        <w:t>机密文件</w:t>
      </w:r>
    </w:p>
    <w:p>
      <w:r>
        <w:t>文档编号：DOC-17258</w:t>
      </w:r>
    </w:p>
    <w:p>
      <w:r>
        <w:t>密级：机密</w:t>
      </w:r>
    </w:p>
    <w:p>
      <w:r>
        <w:t>一、风险提示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二、预算执行</w:t>
      </w:r>
    </w:p>
    <w:p>
      <w:r>
        <w:t>申请事项对应Apex项目第一期阶段，涉及京东服务费、测试资源租赁和驻场支持费用，审批通过后，出纳付款、会计入账和预算回写应在同一工作日内完成，确保经营看板与项目台账口径一致。</w:t>
      </w:r>
    </w:p>
    <w:p>
      <w:r>
        <w:t>三、付款安排</w:t>
      </w:r>
    </w:p>
    <w:p>
      <w:r>
        <w:t>申请事项对应Apex项目第一期阶段，涉及京东服务费、测试资源租赁和驻场支持费用，经初审判断，若本次审批通过，不会突破部门年度上限，但要求项目组严格按里程碑提交验收材料和付款依据。</w:t>
      </w:r>
    </w:p>
    <w:p>
      <w:r>
        <w:t>审批人：周九</w:t>
      </w:r>
    </w:p>
    <w:p>
      <w:r>
        <w:t>日期：2024-05-22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