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方案名称：薪酬调整计划</w:t>
      </w:r>
    </w:p>
    <w:p>
      <w:r>
        <w:t>起草人：李四</w:t>
      </w:r>
    </w:p>
    <w:p>
      <w:r>
        <w:t>日期：2024-03-20</w:t>
      </w:r>
    </w:p>
    <w:p>
      <w:r>
        <w:t>一、背景分析</w:t>
      </w:r>
    </w:p>
    <w:p>
      <w:r>
        <w:t>结合2025年度经营目标与组织盘点结果，当前财务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二、实施计划</w:t>
      </w:r>
    </w:p>
    <w:p>
      <w:r>
        <w:t>截至2024-05-21，本轮评估已覆盖82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三、方案安排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四、保留策略</w:t>
      </w:r>
    </w:p>
    <w:p>
      <w:r>
        <w:t>结合2025年度经营目标与组织盘点结果，当前财务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