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裁员计划：人力部门</w:t>
      </w:r>
    </w:p>
    <w:p>
      <w:r>
        <w:t>绝密 - 仅限董事会成员</w:t>
      </w:r>
    </w:p>
    <w:p>
      <w:r>
        <w:t>方案名称：岗位调整方案</w:t>
      </w:r>
    </w:p>
    <w:p>
      <w:r>
        <w:t>起草人：王五</w:t>
      </w:r>
    </w:p>
    <w:p>
      <w:r>
        <w:t>日期：2024-01-20</w:t>
      </w:r>
    </w:p>
    <w:p>
      <w:r>
        <w:t>一、沟通机制</w:t>
      </w:r>
    </w:p>
    <w:p>
      <w:r>
        <w:t>近期业务结构调整后，原有编制与薪酬带宽已难以准确反映实际职责差异，如继续沿用旧方案将加大核心岗位流失风险，如涉及人员优化，补偿原则将按照司龄、绩效和岗位稀缺度综合测算，并提供转岗、推荐和求职支持等配套安排。</w:t>
      </w:r>
    </w:p>
    <w:p>
      <w:r>
        <w:t>二、方案安排</w:t>
      </w:r>
    </w:p>
    <w:p>
      <w:r>
        <w:t>组织架构调整拟将分散在多个小组的审批、运营和支持职能收拢到共享平台，业务侧仅保留与收入和交付强相关的前线岗位，如涉及人员优化，补偿原则将按照司龄、绩效和岗位稀缺度综合测算，并提供转岗、推荐和求职支持等配套安排。</w:t>
      </w:r>
    </w:p>
    <w:p>
      <w:r>
        <w:t>三、保留策略</w:t>
      </w:r>
    </w:p>
    <w:p>
      <w:r>
        <w:t>董事会在上次专题会上要求人力与业务联合形成可落地的优化方案，重点关注人员结构、成本弹性和关键岗位保留三方面，如涉及人员优化，补偿原则将按照司龄、绩效和岗位稀缺度综合测算，并提供转岗、推荐和求职支持等配套安排。</w:t>
      </w:r>
    </w:p>
    <w:p>
      <w:r>
        <w:t>四、背景分析</w:t>
      </w:r>
    </w:p>
    <w:p>
      <w:r>
        <w:t>结合2023年度经营目标与组织盘点结果，当前人力条线存在岗位重叠、层级跨度过大和关键岗位继任不足等问题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