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方案名称：薪酬调整计划</w:t>
      </w:r>
    </w:p>
    <w:p>
      <w:r>
        <w:t>起草人：吴十</w:t>
      </w:r>
    </w:p>
    <w:p>
      <w:r>
        <w:t>日期：2024-12-20</w:t>
      </w:r>
    </w:p>
    <w:p>
      <w:r>
        <w:t>一、方案安排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二、背景分析</w:t>
      </w:r>
    </w:p>
    <w:p>
      <w:r>
        <w:t>截至2024-07-28，本轮评估已覆盖79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三、影响评估</w:t>
      </w:r>
    </w:p>
    <w:p>
      <w:r>
        <w:t>结合2024年度经营目标与组织盘点结果，当前数据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四、实施计划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