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密钥管理方案</w:t>
      </w:r>
    </w:p>
    <w:p>
      <w:r>
        <w:t>绝密文件</w:t>
      </w:r>
    </w:p>
    <w:p>
      <w:r>
        <w:t>文档编号：DOC-66525</w:t>
      </w:r>
    </w:p>
    <w:p>
      <w:r>
        <w:t>密级：绝密</w:t>
      </w:r>
    </w:p>
    <w:p>
      <w:r>
        <w:t>访问控制：仅限安全委员会</w:t>
      </w:r>
    </w:p>
    <w:p>
      <w:r>
        <w:t>1. 技术目标</w:t>
      </w:r>
    </w:p>
    <w:p>
      <w:r>
        <w:t>整体架构采用离线训练、特征发布、在线推理和审计回放四段式设计，既满足多租户隔离要求，也便于问题复盘，访问控制上采用最小权限模型，研发、运维与安全角色分离管理，涉及模型参数和回放样本的操作均需双人审批。</w:t>
      </w:r>
    </w:p>
    <w:p>
      <w:r>
        <w:t>2. 安全控制</w:t>
      </w:r>
    </w:p>
    <w:p>
      <w:r>
        <w:t>整体架构采用离线训练、特征发布、在线推理和审计回放四段式设计，既满足多租户隔离要求，也便于问题复盘，漏洞治理遵循发现、分级、修复、复测和复盘的闭环流程，高危问题必须在{notice_period}个工作日内完成补丁验证与回归。</w:t>
      </w:r>
    </w:p>
    <w:p>
      <w:r>
        <w:t>3. 性能指标</w:t>
      </w:r>
    </w:p>
    <w:p>
      <w:r>
        <w:t>本方案面向日志分析平台的关键能力升级，核心目标是在保证现网稳定的前提下完成加密方案的在线服务化改造，访问控制上采用最小权限模型，研发、运维与安全角色分离管理，涉及模型参数和回放样本的操作均需双人审批。</w:t>
      </w:r>
    </w:p>
    <w:p>
      <w:r>
        <w:t>4. 核心实现</w:t>
      </w:r>
    </w:p>
    <w:p>
      <w:r>
        <w:t>技术路线兼顾性能与可维护性，所有关键模块均要求具备配置热更新、指标埋点和异常熔断能力，访问控制上采用最小权限模型，研发、运维与安全角色分离管理，涉及模型参数和回放样本的操作均需双人审批。</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6"/>
      </w:rPr>
      <w:t>内部文档 - 请勿外传</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