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漏洞分析报告：CVE-2024-42620</w:t>
      </w:r>
    </w:p>
    <w:p>
      <w:r>
        <w:t>绝密文件</w:t>
      </w:r>
    </w:p>
    <w:p>
      <w:r>
        <w:t>文档编号：DOC-11482</w:t>
      </w:r>
    </w:p>
    <w:p>
      <w:r>
        <w:t>密级：绝密</w:t>
      </w:r>
    </w:p>
    <w:p>
      <w:r>
        <w:t>访问控制：仅限董事会</w:t>
      </w:r>
    </w:p>
    <w:p>
      <w:r>
        <w:t>1. 审计要求</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2. 安全控制</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3. 技术目标</w:t>
      </w:r>
    </w:p>
    <w:p>
      <w:r>
        <w:t>核心推理链路将30个特征按静态属性、行为窗口和上下文信号分层编码，在线服务优先命中近端缓存，漏洞治理遵循发现、分级、修复、复测和复盘的闭环流程，高危问题必须在{notice_period}个工作日内完成补丁验证与回归。</w:t>
      </w:r>
    </w:p>
    <w:p>
      <w:r>
        <w:t>4. 性能指标</w:t>
      </w:r>
    </w:p>
    <w:p>
      <w:r>
        <w:t>本方案面向数据交换总线的关键能力升级，核心目标是在保证现网稳定的前提下完成特征召回链路的在线服务化改造，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