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文档编号：DOC-69596</w:t>
      </w:r>
    </w:p>
    <w:p>
      <w:r>
        <w:t>密级：绝密</w:t>
      </w:r>
    </w:p>
    <w:p>
      <w:r>
        <w:t>访问控制：仅限董事会</w:t>
      </w:r>
    </w:p>
    <w:p>
      <w:r>
        <w:t>1. 部署策略</w:t>
      </w:r>
    </w:p>
    <w:p>
      <w:r>
        <w:t>核心推理链路将193个特征按静态属性、行为窗口和上下文信号分层编码，在线服务优先命中近端缓存，访问控制上采用最小权限模型，研发、运维与安全角色分离管理，涉及模型参数和回放样本的操作均需双人审批。</w:t>
      </w:r>
    </w:p>
    <w:p>
      <w:r>
        <w:t>2. 性能指标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p>
      <w:r>
        <w:t>3. 审计要求</w:t>
      </w:r>
    </w:p>
    <w:p>
      <w:r>
        <w:t>整体架构采用离线训练、特征发布、在线推理和审计回放四段式设计，既满足多租户隔离要求，也便于问题复盘，访问控制上采用最小权限模型，研发、运维与安全角色分离管理，涉及模型参数和回放样本的操作均需双人审批。</w:t>
      </w:r>
    </w:p>
    <w:p>
      <w:r>
        <w:t>4. 安全控制</w:t>
      </w:r>
    </w:p>
    <w:p>
      <w:r>
        <w:t>核心推理链路将193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