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裁员计划：法务部门</w:t>
      </w:r>
    </w:p>
    <w:p>
      <w:r>
        <w:t>绝密 - 仅限董事会成员</w:t>
      </w:r>
    </w:p>
    <w:p>
      <w:r>
        <w:t>方案名称：战略转型方案</w:t>
      </w:r>
    </w:p>
    <w:p>
      <w:r>
        <w:t>起草人：周九</w:t>
      </w:r>
    </w:p>
    <w:p>
      <w:r>
        <w:t>日期：2024-02-14</w:t>
      </w:r>
    </w:p>
    <w:p>
      <w:r>
        <w:t>一、方案安排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二、保留策略</w:t>
      </w:r>
    </w:p>
    <w:p>
      <w:r>
        <w:t>结合2025年度经营目标与组织盘点结果，当前法务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三、沟通机制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p>
      <w:r>
        <w:t>四、背景分析</w:t>
      </w:r>
    </w:p>
    <w:p>
      <w:r>
        <w:t>截至2024-04-05，本轮评估已覆盖112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